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5"/>
      </w:tblGrid>
      <w:tr>
        <w:trPr>
          <w:tblHeader w:val="true"/>
          <w:trHeight w:val="750" w:hRule="atLeast"/>
        </w:trPr>
        <w:tc>
          <w:tcPr>
            <w:tcW w:w="10205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drawing>
                <wp:inline distT="0" distB="0" distL="0" distR="0">
                  <wp:extent cx="1905000" cy="47625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ИП при продаже товара через OZON надо сдавать ФНО 101.04?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br/>
        <w:t xml:space="preserve">ИП продает через OZON товар. ИП на розничном налоге, неплательщик НДС. ООО "Интернет-решения" (OZON) перечисляет деньги в тенге за проданный товар за минусом расходов за свои предоставленные услуги. Предоставляют в личном кабинете акт, в нем указывают: Услуги drop off на ПВЗ, Услуги Доставки товара до покупателя Marketplace, Услуги Возврата невостребованного товара Marketplace, Услуги Доставки товара, Логистика Услуги Возврата товара ,Логистика, Отчёт о перевыставлении услуг за.Должны ли мы заполнять и сдавать ф. 101.04? </w:t>
        <w:br/>
        <w:br/>
        <w:br/>
      </w:r>
      <w:r>
        <w:rPr>
          <w:b/>
        </w:rPr>
        <w:t>Ответ: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Маркетплейс - это агент. Он рекламирует товары продавца-принципала и затем организует их продажу: хранение на складе, доставку, прием денег, а в случае необходимости - возврат. За эти действия продавец уплачивает маркетплейсу комиссию.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В зависимости от условий договора агент может совершать сделки от своего имени либо от имени продавца.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Гражданский кодекс не содержит нормы, регламентирующие именно агентские договоры, так как считается, что агентский договор представляет собой соглашение, регулирующее обобщенный характер отношений в любых сделках, одним из обязательных участников которых является посредник (агент).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Гражданский кодекс РК выделяет только конкретные виды договорных агентских отношений, в том числе договоры поручения, комиссии, оказание услуг и т. п., каждый из которых имеет свои особенности, определяющие права и обязательства сторон.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Таким образом, торговля через маркетплейсы может оформляться договором комиссии или договором поручения.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Перечисленные услуги в вашем вопросе, полученные от маркетплейса, являются вашими расходами по комиссии маркетплейса, т.е. вам дают расшифровку, что входит в стоимость услуг комиссии.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В таком случае по комиссионному вознаграждению, выплачиваемому маркетплейсу нерезиденту, у вас возникает обязательство по уплате КПН у ИВ согласно подпункту 34 пункта 1 статьи </w:t>
      </w:r>
      <w:r>
        <w:fldChar w:fldCharType="begin"/>
      </w:r>
      <w:r>
        <w:rPr>
          <w:rStyle w:val="InternetLink"/>
        </w:rPr>
        <w:instrText> HYPERLINK "https://zakon.uchet.kz/rus/docs/K1700000120" \l "z" \n _blank</w:instrText>
      </w:r>
      <w:r>
        <w:rPr>
          <w:rStyle w:val="InternetLink"/>
        </w:rPr>
        <w:fldChar w:fldCharType="separate"/>
      </w:r>
      <w:r>
        <w:rPr>
          <w:rStyle w:val="InternetLink"/>
        </w:rPr>
        <w:t>644</w:t>
      </w:r>
      <w:r>
        <w:rPr>
          <w:rStyle w:val="InternetLink"/>
        </w:rPr>
        <w:fldChar w:fldCharType="end"/>
      </w:r>
      <w:r>
        <w:rPr/>
        <w:t xml:space="preserve"> НК РК по ставке налога 20%.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Форма отчетности </w:t>
      </w:r>
      <w:hyperlink r:id="rId3" w:tgtFrame="_blank">
        <w:r>
          <w:rPr>
            <w:rStyle w:val="InternetLink"/>
          </w:rPr>
          <w:t>101.04</w:t>
        </w:r>
      </w:hyperlink>
      <w:r>
        <w:rPr/>
        <w:t xml:space="preserve"> – сдаете по услугам нерезидента.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Если вам будут выставлены отдельным документом услуги доступа на сайт маркетплейса, то сумма стоимости доступа облагается КПН у источника выплаты в качестве роялти с применением ставки 15%. </w:t>
      </w:r>
    </w:p>
    <w:p>
      <w:pPr>
        <w:pStyle w:val="TextBody"/>
        <w:bidi w:val="0"/>
        <w:jc w:val="right"/>
        <w:rPr/>
      </w:pPr>
      <w:r>
        <w:rPr>
          <w:b/>
        </w:rPr>
        <w:t>Байгазина Светлана,</w:t>
      </w:r>
      <w:r>
        <w:rPr/>
        <w:br/>
      </w:r>
      <w:r>
        <w:rPr>
          <w:b/>
        </w:rPr>
        <w:t xml:space="preserve">профессиональный бухгалтер, г. Алматы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uchet.kz/otcheti/fno/index.php?ELEMENT_ID=82239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LibreOffice/7.1.5.2$Linux_X86_64 LibreOffice_project/85f04e9f809797b8199d13c421bd8a2b025d52b5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